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/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Аппарат управления</w:t>
      </w:r>
      <w:r/>
    </w:p>
    <w:p>
      <w:pPr>
        <w:pBdr/>
        <w:spacing/>
        <w:ind/>
        <w:rPr>
          <w:rFonts w:ascii="Times New Roman" w:hAnsi="Times New Roman" w:eastAsia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Профессиональный коллектив (театр)</w:t>
      </w:r>
      <w:r/>
    </w:p>
    <w:p>
      <w:pPr>
        <w:pBdr/>
        <w:spacing/>
        <w:ind/>
        <w:rPr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Специализированное структурное образовательное подразделение</w:t>
      </w: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2024-10-15T18:55:27Z</dcterms:modified>
</cp:coreProperties>
</file>